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F3" w:rsidRPr="00853D3B" w:rsidRDefault="008176F3" w:rsidP="000E6092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556119" w:rsidRPr="008D3698" w:rsidRDefault="00556119" w:rsidP="008D3698">
      <w:pPr>
        <w:rPr>
          <w:rFonts w:ascii="Times New Roman" w:hAnsi="Times New Roman"/>
          <w:sz w:val="16"/>
          <w:szCs w:val="16"/>
        </w:rPr>
      </w:pPr>
    </w:p>
    <w:p w:rsidR="001D6041" w:rsidRDefault="001D6041" w:rsidP="002C5527">
      <w:pPr>
        <w:ind w:left="180" w:right="360"/>
        <w:jc w:val="center"/>
        <w:rPr>
          <w:rFonts w:ascii="Times New Roman" w:hAnsi="Times New Roman"/>
          <w:b/>
          <w:sz w:val="28"/>
          <w:szCs w:val="28"/>
        </w:rPr>
      </w:pPr>
    </w:p>
    <w:p w:rsidR="00377DC0" w:rsidRPr="002C5527" w:rsidRDefault="002C5527" w:rsidP="002C5527">
      <w:pPr>
        <w:ind w:left="180" w:right="360"/>
        <w:jc w:val="center"/>
        <w:rPr>
          <w:rFonts w:ascii="Times New Roman" w:hAnsi="Times New Roman"/>
          <w:b/>
          <w:sz w:val="28"/>
          <w:szCs w:val="28"/>
        </w:rPr>
      </w:pPr>
      <w:r w:rsidRPr="002C5527">
        <w:rPr>
          <w:rFonts w:ascii="Times New Roman" w:hAnsi="Times New Roman"/>
          <w:b/>
          <w:sz w:val="28"/>
          <w:szCs w:val="28"/>
        </w:rPr>
        <w:t>Clinical Practice Guidelines and Preventive Health Guidelines</w:t>
      </w:r>
    </w:p>
    <w:p w:rsidR="002C5527" w:rsidRDefault="002C5527" w:rsidP="00775E11">
      <w:pPr>
        <w:ind w:left="180" w:right="360"/>
        <w:jc w:val="both"/>
        <w:rPr>
          <w:rFonts w:ascii="Times New Roman" w:hAnsi="Times New Roman"/>
          <w:sz w:val="24"/>
          <w:szCs w:val="24"/>
        </w:rPr>
      </w:pPr>
    </w:p>
    <w:p w:rsidR="00F820A9" w:rsidRDefault="002C5527" w:rsidP="00C66660">
      <w:pPr>
        <w:ind w:left="180"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555495">
        <w:rPr>
          <w:rFonts w:ascii="Times New Roman" w:hAnsi="Times New Roman"/>
          <w:b/>
          <w:sz w:val="24"/>
          <w:szCs w:val="24"/>
        </w:rPr>
        <w:t>Clinical Practice Guidelines and Preventive Health Guidelines</w:t>
      </w:r>
      <w:r w:rsidR="00C22EF9">
        <w:rPr>
          <w:rFonts w:ascii="Times New Roman" w:hAnsi="Times New Roman"/>
          <w:b/>
          <w:sz w:val="24"/>
          <w:szCs w:val="24"/>
        </w:rPr>
        <w:t xml:space="preserve"> </w:t>
      </w:r>
      <w:r w:rsidR="00555495">
        <w:rPr>
          <w:rFonts w:ascii="Times New Roman" w:hAnsi="Times New Roman"/>
          <w:sz w:val="24"/>
          <w:szCs w:val="24"/>
        </w:rPr>
        <w:t>provider web</w:t>
      </w:r>
      <w:r w:rsidR="00C22EF9">
        <w:rPr>
          <w:rFonts w:ascii="Times New Roman" w:hAnsi="Times New Roman"/>
          <w:sz w:val="24"/>
          <w:szCs w:val="24"/>
        </w:rPr>
        <w:t xml:space="preserve"> </w:t>
      </w:r>
      <w:r w:rsidR="00555495">
        <w:rPr>
          <w:rFonts w:ascii="Times New Roman" w:hAnsi="Times New Roman"/>
          <w:sz w:val="24"/>
          <w:szCs w:val="24"/>
        </w:rPr>
        <w:t>page</w:t>
      </w:r>
      <w:r w:rsidR="00CA3FFF">
        <w:rPr>
          <w:rFonts w:ascii="Times New Roman" w:hAnsi="Times New Roman"/>
          <w:sz w:val="24"/>
          <w:szCs w:val="24"/>
        </w:rPr>
        <w:t>s</w:t>
      </w:r>
      <w:r w:rsidR="00C22EF9">
        <w:rPr>
          <w:rFonts w:ascii="Times New Roman" w:hAnsi="Times New Roman"/>
          <w:sz w:val="24"/>
          <w:szCs w:val="24"/>
        </w:rPr>
        <w:t xml:space="preserve"> </w:t>
      </w:r>
      <w:r w:rsidR="00555495">
        <w:rPr>
          <w:rFonts w:ascii="Times New Roman" w:hAnsi="Times New Roman"/>
          <w:sz w:val="24"/>
          <w:szCs w:val="24"/>
        </w:rPr>
        <w:t>found on</w:t>
      </w:r>
      <w:r>
        <w:rPr>
          <w:rFonts w:ascii="Times New Roman" w:hAnsi="Times New Roman"/>
          <w:sz w:val="24"/>
          <w:szCs w:val="24"/>
        </w:rPr>
        <w:t xml:space="preserve"> www.MolinaHealthcare.com has been updated</w:t>
      </w:r>
      <w:r w:rsidR="00F820A9">
        <w:rPr>
          <w:rFonts w:ascii="Times New Roman" w:hAnsi="Times New Roman"/>
          <w:sz w:val="24"/>
          <w:szCs w:val="24"/>
        </w:rPr>
        <w:t>.  The page now</w:t>
      </w:r>
      <w:r w:rsidR="00555495">
        <w:rPr>
          <w:rFonts w:ascii="Times New Roman" w:hAnsi="Times New Roman"/>
          <w:sz w:val="24"/>
          <w:szCs w:val="24"/>
        </w:rPr>
        <w:t xml:space="preserve"> include</w:t>
      </w:r>
      <w:r w:rsidR="00F820A9">
        <w:rPr>
          <w:rFonts w:ascii="Times New Roman" w:hAnsi="Times New Roman"/>
          <w:sz w:val="24"/>
          <w:szCs w:val="24"/>
        </w:rPr>
        <w:t>s</w:t>
      </w:r>
      <w:r w:rsidR="00555495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newly </w:t>
      </w:r>
      <w:r w:rsidR="00F97981">
        <w:rPr>
          <w:rFonts w:ascii="Times New Roman" w:hAnsi="Times New Roman"/>
          <w:sz w:val="24"/>
          <w:szCs w:val="24"/>
        </w:rPr>
        <w:t>adopted</w:t>
      </w:r>
      <w:r>
        <w:rPr>
          <w:rFonts w:ascii="Times New Roman" w:hAnsi="Times New Roman"/>
          <w:sz w:val="24"/>
          <w:szCs w:val="24"/>
        </w:rPr>
        <w:t xml:space="preserve"> behavioral health practice guideline</w:t>
      </w:r>
      <w:r w:rsidR="00555495">
        <w:rPr>
          <w:rFonts w:ascii="Times New Roman" w:hAnsi="Times New Roman"/>
          <w:sz w:val="24"/>
          <w:szCs w:val="24"/>
        </w:rPr>
        <w:t xml:space="preserve"> for the </w:t>
      </w:r>
      <w:r w:rsidR="00555495">
        <w:rPr>
          <w:rFonts w:ascii="Times New Roman" w:hAnsi="Times New Roman"/>
          <w:b/>
          <w:i/>
          <w:sz w:val="24"/>
          <w:szCs w:val="24"/>
        </w:rPr>
        <w:t>Diagnosis, Evaluation and Treatment of</w:t>
      </w:r>
      <w:r w:rsidR="00C22EF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55495">
        <w:rPr>
          <w:rFonts w:ascii="Times New Roman" w:hAnsi="Times New Roman"/>
          <w:b/>
          <w:i/>
          <w:sz w:val="24"/>
          <w:szCs w:val="24"/>
        </w:rPr>
        <w:t>Attention-D</w:t>
      </w:r>
      <w:r w:rsidR="00F97981">
        <w:rPr>
          <w:rFonts w:ascii="Times New Roman" w:hAnsi="Times New Roman"/>
          <w:b/>
          <w:i/>
          <w:sz w:val="24"/>
          <w:szCs w:val="24"/>
        </w:rPr>
        <w:t>eficit/Hyperactivity Disorder</w:t>
      </w:r>
      <w:r w:rsidRPr="00555495">
        <w:rPr>
          <w:rFonts w:ascii="Times New Roman" w:hAnsi="Times New Roman"/>
          <w:b/>
          <w:i/>
          <w:sz w:val="24"/>
          <w:szCs w:val="24"/>
        </w:rPr>
        <w:t xml:space="preserve"> in Children and Adolescents</w:t>
      </w:r>
      <w:r>
        <w:rPr>
          <w:rFonts w:ascii="Times New Roman" w:hAnsi="Times New Roman"/>
          <w:sz w:val="24"/>
          <w:szCs w:val="24"/>
        </w:rPr>
        <w:t>.</w:t>
      </w:r>
    </w:p>
    <w:p w:rsidR="00F820A9" w:rsidRDefault="00F820A9" w:rsidP="00C66660">
      <w:pPr>
        <w:ind w:left="180" w:right="360"/>
        <w:jc w:val="both"/>
        <w:rPr>
          <w:rFonts w:ascii="Times New Roman" w:hAnsi="Times New Roman"/>
          <w:sz w:val="24"/>
          <w:szCs w:val="24"/>
        </w:rPr>
      </w:pPr>
    </w:p>
    <w:p w:rsidR="00CE6EF5" w:rsidRPr="00CE6EF5" w:rsidRDefault="00F97981" w:rsidP="00C66660">
      <w:pPr>
        <w:ind w:left="180"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C66660">
        <w:rPr>
          <w:rFonts w:ascii="Times New Roman" w:hAnsi="Times New Roman"/>
          <w:sz w:val="24"/>
          <w:szCs w:val="24"/>
        </w:rPr>
        <w:t xml:space="preserve">new </w:t>
      </w:r>
      <w:r>
        <w:rPr>
          <w:rFonts w:ascii="Times New Roman" w:hAnsi="Times New Roman"/>
          <w:sz w:val="24"/>
          <w:szCs w:val="24"/>
        </w:rPr>
        <w:t>guideline</w:t>
      </w:r>
      <w:r w:rsidR="00C66660">
        <w:rPr>
          <w:rFonts w:ascii="Times New Roman" w:hAnsi="Times New Roman"/>
          <w:sz w:val="24"/>
          <w:szCs w:val="24"/>
        </w:rPr>
        <w:t xml:space="preserve">, along with all </w:t>
      </w:r>
      <w:r w:rsidR="00F820A9">
        <w:rPr>
          <w:rFonts w:ascii="Times New Roman" w:hAnsi="Times New Roman"/>
          <w:sz w:val="24"/>
          <w:szCs w:val="24"/>
        </w:rPr>
        <w:t xml:space="preserve">of the </w:t>
      </w:r>
      <w:r w:rsidR="009D1215">
        <w:rPr>
          <w:rFonts w:ascii="Times New Roman" w:hAnsi="Times New Roman"/>
          <w:sz w:val="24"/>
          <w:szCs w:val="24"/>
        </w:rPr>
        <w:t xml:space="preserve">Molina Healthcare of Michigan (MHM) adopted </w:t>
      </w:r>
      <w:r w:rsidR="00C66660">
        <w:rPr>
          <w:rFonts w:ascii="Times New Roman" w:hAnsi="Times New Roman"/>
          <w:sz w:val="24"/>
          <w:szCs w:val="24"/>
        </w:rPr>
        <w:t>guidelines,</w:t>
      </w:r>
      <w:r>
        <w:rPr>
          <w:rFonts w:ascii="Times New Roman" w:hAnsi="Times New Roman"/>
          <w:sz w:val="24"/>
          <w:szCs w:val="24"/>
        </w:rPr>
        <w:t xml:space="preserve"> is applicable </w:t>
      </w:r>
      <w:r w:rsidR="00EA0C7C">
        <w:rPr>
          <w:rFonts w:ascii="Times New Roman" w:hAnsi="Times New Roman"/>
          <w:sz w:val="24"/>
          <w:szCs w:val="24"/>
        </w:rPr>
        <w:t>to</w:t>
      </w:r>
      <w:r w:rsidR="009A6C2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15B7E">
        <w:rPr>
          <w:rFonts w:ascii="Times New Roman" w:hAnsi="Times New Roman"/>
          <w:sz w:val="24"/>
          <w:szCs w:val="24"/>
        </w:rPr>
        <w:t>the following</w:t>
      </w:r>
      <w:r w:rsidR="00F718DB">
        <w:rPr>
          <w:rFonts w:ascii="Times New Roman" w:hAnsi="Times New Roman"/>
          <w:sz w:val="24"/>
          <w:szCs w:val="24"/>
        </w:rPr>
        <w:t xml:space="preserve"> </w:t>
      </w:r>
      <w:r w:rsidR="00C66660">
        <w:rPr>
          <w:rFonts w:ascii="Times New Roman" w:hAnsi="Times New Roman"/>
          <w:sz w:val="24"/>
          <w:szCs w:val="24"/>
        </w:rPr>
        <w:t xml:space="preserve">MHM </w:t>
      </w:r>
      <w:r w:rsidR="00F15B7E">
        <w:rPr>
          <w:rFonts w:ascii="Times New Roman" w:hAnsi="Times New Roman"/>
          <w:sz w:val="24"/>
          <w:szCs w:val="24"/>
        </w:rPr>
        <w:t>health plan</w:t>
      </w:r>
      <w:r w:rsidR="009D1215">
        <w:rPr>
          <w:rFonts w:ascii="Times New Roman" w:hAnsi="Times New Roman"/>
          <w:sz w:val="24"/>
          <w:szCs w:val="24"/>
        </w:rPr>
        <w:t>s</w:t>
      </w:r>
      <w:r w:rsidR="00F15B7E">
        <w:rPr>
          <w:rFonts w:ascii="Times New Roman" w:hAnsi="Times New Roman"/>
          <w:sz w:val="24"/>
          <w:szCs w:val="24"/>
        </w:rPr>
        <w:t xml:space="preserve">: </w:t>
      </w:r>
    </w:p>
    <w:p w:rsidR="00CE6EF5" w:rsidRPr="00CE6EF5" w:rsidRDefault="00CE6EF5" w:rsidP="00C66660">
      <w:pPr>
        <w:numPr>
          <w:ilvl w:val="0"/>
          <w:numId w:val="11"/>
        </w:numPr>
        <w:tabs>
          <w:tab w:val="left" w:pos="720"/>
        </w:tabs>
        <w:ind w:left="630" w:right="360"/>
        <w:jc w:val="both"/>
        <w:rPr>
          <w:rFonts w:ascii="Times New Roman" w:hAnsi="Times New Roman"/>
          <w:sz w:val="24"/>
          <w:szCs w:val="24"/>
        </w:rPr>
      </w:pPr>
      <w:r w:rsidRPr="00CE6EF5">
        <w:rPr>
          <w:rFonts w:ascii="Times New Roman" w:hAnsi="Times New Roman"/>
          <w:sz w:val="24"/>
          <w:szCs w:val="24"/>
        </w:rPr>
        <w:t>Medicaid</w:t>
      </w:r>
    </w:p>
    <w:p w:rsidR="00CE6EF5" w:rsidRPr="00CE6EF5" w:rsidRDefault="00CE6EF5" w:rsidP="00C66660">
      <w:pPr>
        <w:numPr>
          <w:ilvl w:val="0"/>
          <w:numId w:val="11"/>
        </w:numPr>
        <w:tabs>
          <w:tab w:val="left" w:pos="720"/>
        </w:tabs>
        <w:ind w:left="630" w:right="360"/>
        <w:jc w:val="both"/>
        <w:rPr>
          <w:rFonts w:ascii="Times New Roman" w:hAnsi="Times New Roman"/>
          <w:sz w:val="24"/>
          <w:szCs w:val="24"/>
        </w:rPr>
      </w:pPr>
      <w:r w:rsidRPr="00CE6EF5">
        <w:rPr>
          <w:rFonts w:ascii="Times New Roman" w:hAnsi="Times New Roman"/>
          <w:sz w:val="24"/>
          <w:szCs w:val="24"/>
        </w:rPr>
        <w:t>Medicare</w:t>
      </w:r>
    </w:p>
    <w:p w:rsidR="00CE6EF5" w:rsidRDefault="00CE6EF5" w:rsidP="00C66660">
      <w:pPr>
        <w:numPr>
          <w:ilvl w:val="0"/>
          <w:numId w:val="11"/>
        </w:numPr>
        <w:tabs>
          <w:tab w:val="left" w:pos="720"/>
        </w:tabs>
        <w:ind w:left="630" w:righ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EF5">
        <w:rPr>
          <w:rFonts w:ascii="Times New Roman" w:hAnsi="Times New Roman"/>
          <w:sz w:val="24"/>
          <w:szCs w:val="24"/>
        </w:rPr>
        <w:t>MIChild</w:t>
      </w:r>
      <w:proofErr w:type="spellEnd"/>
    </w:p>
    <w:p w:rsidR="00F15B7E" w:rsidRPr="00AE67AB" w:rsidRDefault="00F820A9" w:rsidP="00AE67AB">
      <w:pPr>
        <w:numPr>
          <w:ilvl w:val="0"/>
          <w:numId w:val="11"/>
        </w:numPr>
        <w:tabs>
          <w:tab w:val="left" w:pos="720"/>
        </w:tabs>
        <w:ind w:left="630"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Molina Marketplace </w:t>
      </w:r>
    </w:p>
    <w:p w:rsidR="00CE6EF5" w:rsidRPr="00853D3B" w:rsidRDefault="00CE6EF5" w:rsidP="00C66660">
      <w:pPr>
        <w:ind w:left="180" w:right="360"/>
        <w:jc w:val="both"/>
        <w:rPr>
          <w:rFonts w:ascii="Times New Roman" w:hAnsi="Times New Roman"/>
          <w:sz w:val="20"/>
          <w:szCs w:val="20"/>
        </w:rPr>
      </w:pPr>
    </w:p>
    <w:p w:rsidR="0069218D" w:rsidRDefault="00F15B7E" w:rsidP="009D1215">
      <w:pPr>
        <w:ind w:left="180" w:righ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access the guidelines, please visit </w:t>
      </w:r>
      <w:r w:rsidR="009D1215"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z w:val="24"/>
          <w:szCs w:val="24"/>
        </w:rPr>
        <w:t xml:space="preserve">website at </w:t>
      </w:r>
      <w:hyperlink r:id="rId9" w:history="1">
        <w:r w:rsidR="00CE6EF5" w:rsidRPr="00CE6EF5">
          <w:rPr>
            <w:rStyle w:val="Hyperlink"/>
            <w:rFonts w:ascii="Times New Roman" w:hAnsi="Times New Roman"/>
            <w:sz w:val="24"/>
            <w:szCs w:val="24"/>
          </w:rPr>
          <w:t>www.molinahealthcare.</w:t>
        </w:r>
        <w:r w:rsidR="00CE6EF5" w:rsidRPr="009A6C2F">
          <w:rPr>
            <w:rStyle w:val="Hyperlink"/>
            <w:rFonts w:ascii="Times New Roman" w:hAnsi="Times New Roman"/>
            <w:sz w:val="24"/>
            <w:szCs w:val="24"/>
            <w:u w:val="none"/>
          </w:rPr>
          <w:t>com</w:t>
        </w:r>
      </w:hyperlink>
      <w:r w:rsidR="009A6C2F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 w:rsidR="009D1215" w:rsidRPr="009A6C2F">
        <w:rPr>
          <w:rFonts w:ascii="Times New Roman" w:hAnsi="Times New Roman"/>
          <w:sz w:val="24"/>
          <w:szCs w:val="24"/>
        </w:rPr>
        <w:t>and</w:t>
      </w:r>
      <w:r w:rsidR="009D1215">
        <w:rPr>
          <w:rFonts w:ascii="Times New Roman" w:hAnsi="Times New Roman"/>
          <w:sz w:val="24"/>
          <w:szCs w:val="24"/>
        </w:rPr>
        <w:t xml:space="preserve"> click on</w:t>
      </w:r>
      <w:r w:rsidR="00C22EF9">
        <w:rPr>
          <w:rFonts w:ascii="Times New Roman" w:hAnsi="Times New Roman"/>
          <w:sz w:val="24"/>
          <w:szCs w:val="24"/>
        </w:rPr>
        <w:t xml:space="preserve"> </w:t>
      </w:r>
      <w:r w:rsidR="00E3230B" w:rsidRPr="00E3230B">
        <w:rPr>
          <w:rFonts w:ascii="Times New Roman" w:hAnsi="Times New Roman"/>
          <w:b/>
          <w:sz w:val="24"/>
          <w:szCs w:val="24"/>
        </w:rPr>
        <w:t>“For Health Care Professionals</w:t>
      </w:r>
      <w:r w:rsidR="00E3230B">
        <w:rPr>
          <w:rFonts w:ascii="Times New Roman" w:hAnsi="Times New Roman"/>
          <w:sz w:val="24"/>
          <w:szCs w:val="24"/>
        </w:rPr>
        <w:t>” and then</w:t>
      </w:r>
      <w:r w:rsidR="00C22EF9">
        <w:rPr>
          <w:rFonts w:ascii="Times New Roman" w:hAnsi="Times New Roman"/>
          <w:sz w:val="24"/>
          <w:szCs w:val="24"/>
        </w:rPr>
        <w:t xml:space="preserve"> </w:t>
      </w:r>
      <w:r w:rsidR="00E3230B">
        <w:rPr>
          <w:rFonts w:ascii="Times New Roman" w:hAnsi="Times New Roman"/>
          <w:b/>
          <w:sz w:val="24"/>
          <w:szCs w:val="24"/>
        </w:rPr>
        <w:t>“Health Resources.”</w:t>
      </w:r>
    </w:p>
    <w:p w:rsidR="00C66660" w:rsidRPr="0069218D" w:rsidRDefault="00C66660" w:rsidP="009D1215">
      <w:pPr>
        <w:ind w:left="180" w:right="360"/>
        <w:jc w:val="both"/>
        <w:rPr>
          <w:rFonts w:ascii="Times New Roman" w:hAnsi="Times New Roman"/>
          <w:b/>
          <w:sz w:val="24"/>
          <w:szCs w:val="24"/>
        </w:rPr>
      </w:pPr>
    </w:p>
    <w:p w:rsidR="00CE6EF5" w:rsidRPr="00CE6EF5" w:rsidRDefault="00C66660" w:rsidP="00C66660">
      <w:pPr>
        <w:ind w:left="180" w:right="360"/>
        <w:jc w:val="both"/>
        <w:rPr>
          <w:rFonts w:ascii="Times New Roman" w:hAnsi="Times New Roman"/>
          <w:sz w:val="24"/>
          <w:szCs w:val="24"/>
        </w:rPr>
      </w:pPr>
      <w:r w:rsidRPr="00C66660">
        <w:rPr>
          <w:rFonts w:ascii="Times New Roman" w:hAnsi="Times New Roman"/>
          <w:sz w:val="24"/>
          <w:szCs w:val="24"/>
        </w:rPr>
        <w:t xml:space="preserve">If you have any questions regarding the Clinical Practice Guidelines or the Preventive Health Guidelines, or would like to receive any of the information posted on our website in hard copy, </w:t>
      </w:r>
      <w:proofErr w:type="gramStart"/>
      <w:r w:rsidRPr="00C66660">
        <w:rPr>
          <w:rFonts w:ascii="Times New Roman" w:hAnsi="Times New Roman"/>
          <w:sz w:val="24"/>
          <w:szCs w:val="24"/>
        </w:rPr>
        <w:t>please</w:t>
      </w:r>
      <w:proofErr w:type="gramEnd"/>
      <w:r w:rsidRPr="00C66660">
        <w:rPr>
          <w:rFonts w:ascii="Times New Roman" w:hAnsi="Times New Roman"/>
          <w:sz w:val="24"/>
          <w:szCs w:val="24"/>
        </w:rPr>
        <w:t xml:space="preserve"> call Provider Services at (888) 898-7969.</w:t>
      </w:r>
    </w:p>
    <w:p w:rsidR="00CE6EF5" w:rsidRPr="00CA3FFF" w:rsidRDefault="00CE6EF5" w:rsidP="00CA3FFF">
      <w:pPr>
        <w:ind w:right="630"/>
        <w:jc w:val="both"/>
        <w:rPr>
          <w:rFonts w:ascii="Times New Roman" w:hAnsi="Times New Roman"/>
          <w:sz w:val="20"/>
          <w:szCs w:val="20"/>
        </w:rPr>
      </w:pPr>
    </w:p>
    <w:p w:rsidR="00CE6EF5" w:rsidRPr="00CA3FFF" w:rsidRDefault="00CE6EF5" w:rsidP="00CA3FFF">
      <w:pPr>
        <w:ind w:right="630"/>
        <w:jc w:val="both"/>
        <w:rPr>
          <w:rFonts w:ascii="Times New Roman" w:hAnsi="Times New Roman"/>
          <w:sz w:val="20"/>
          <w:szCs w:val="20"/>
        </w:rPr>
      </w:pPr>
    </w:p>
    <w:sectPr w:rsidR="00CE6EF5" w:rsidRPr="00CA3FFF" w:rsidSect="001D604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326" w:right="990" w:bottom="432" w:left="1170" w:header="63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AD" w:rsidRDefault="003D05AD" w:rsidP="00730BAF">
      <w:r>
        <w:separator/>
      </w:r>
    </w:p>
  </w:endnote>
  <w:endnote w:type="continuationSeparator" w:id="0">
    <w:p w:rsidR="003D05AD" w:rsidRDefault="003D05AD" w:rsidP="0073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F9" w:rsidRPr="00C76FF9" w:rsidRDefault="00C76FF9">
    <w:pPr>
      <w:pStyle w:val="Footer"/>
      <w:rPr>
        <w:i/>
        <w:sz w:val="18"/>
        <w:szCs w:val="18"/>
      </w:rPr>
    </w:pPr>
    <w:r w:rsidRPr="00C76FF9">
      <w:rPr>
        <w:i/>
        <w:sz w:val="18"/>
        <w:szCs w:val="18"/>
      </w:rPr>
      <w:t>Effective 12/2013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AD" w:rsidRDefault="003D05AD" w:rsidP="00730BAF">
      <w:r>
        <w:separator/>
      </w:r>
    </w:p>
  </w:footnote>
  <w:footnote w:type="continuationSeparator" w:id="0">
    <w:p w:rsidR="003D05AD" w:rsidRDefault="003D05AD" w:rsidP="00730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BB" w:rsidRDefault="009A6C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491938" o:spid="_x0000_s2050" type="#_x0000_t136" style="position:absolute;margin-left:0;margin-top:0;width:430.5pt;height:146.2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20pt" string="D R A F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BB" w:rsidRDefault="003F67BB" w:rsidP="008D3698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-371475</wp:posOffset>
          </wp:positionV>
          <wp:extent cx="7058025" cy="1933575"/>
          <wp:effectExtent l="0" t="0" r="9525" b="9525"/>
          <wp:wrapNone/>
          <wp:docPr id="2" name="Picture 2" descr="12904 CORP Whats New Newsfla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904 CORP Whats New Newsflas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67BB" w:rsidRDefault="003F67BB" w:rsidP="00C31F2C">
    <w:pPr>
      <w:pStyle w:val="Header"/>
      <w:tabs>
        <w:tab w:val="clear" w:pos="4680"/>
        <w:tab w:val="clear" w:pos="9360"/>
        <w:tab w:val="left" w:pos="3630"/>
      </w:tabs>
      <w:jc w:val="center"/>
    </w:pPr>
  </w:p>
  <w:p w:rsidR="003F67BB" w:rsidRDefault="003F67BB">
    <w:pPr>
      <w:pStyle w:val="Header"/>
    </w:pPr>
  </w:p>
  <w:p w:rsidR="003F67BB" w:rsidRPr="00227993" w:rsidRDefault="003F67BB" w:rsidP="00ED0586">
    <w:pPr>
      <w:pStyle w:val="Header"/>
      <w:tabs>
        <w:tab w:val="clear" w:pos="4680"/>
        <w:tab w:val="clear" w:pos="9360"/>
        <w:tab w:val="left" w:pos="5310"/>
      </w:tabs>
      <w:rPr>
        <w:color w:val="FF0000"/>
      </w:rPr>
    </w:pPr>
    <w:r w:rsidRPr="00227993">
      <w:rPr>
        <w:color w:val="FF0000"/>
      </w:rPr>
      <w:tab/>
    </w:r>
  </w:p>
  <w:p w:rsidR="00F21E14" w:rsidRPr="00F21E14" w:rsidRDefault="00F21E14" w:rsidP="00EA66C8">
    <w:pPr>
      <w:pStyle w:val="Header"/>
      <w:tabs>
        <w:tab w:val="clear" w:pos="4680"/>
        <w:tab w:val="clear" w:pos="9360"/>
      </w:tabs>
      <w:ind w:left="-360" w:right="-450"/>
      <w:jc w:val="center"/>
      <w:rPr>
        <w:sz w:val="10"/>
        <w:szCs w:val="10"/>
      </w:rPr>
    </w:pPr>
  </w:p>
  <w:p w:rsidR="003F67BB" w:rsidRDefault="00171C45" w:rsidP="00EA66C8">
    <w:pPr>
      <w:pStyle w:val="Header"/>
      <w:tabs>
        <w:tab w:val="clear" w:pos="4680"/>
        <w:tab w:val="clear" w:pos="9360"/>
      </w:tabs>
      <w:ind w:left="-360" w:right="-450"/>
      <w:jc w:val="center"/>
      <w:rPr>
        <w:sz w:val="32"/>
        <w:szCs w:val="32"/>
      </w:rPr>
    </w:pPr>
    <w:r>
      <w:rPr>
        <w:sz w:val="32"/>
        <w:szCs w:val="32"/>
      </w:rPr>
      <w:t>2013</w:t>
    </w:r>
    <w:r w:rsidR="001D6041">
      <w:rPr>
        <w:sz w:val="32"/>
        <w:szCs w:val="32"/>
      </w:rPr>
      <w:t>–</w:t>
    </w:r>
    <w:r w:rsidR="00CA3FFF">
      <w:rPr>
        <w:sz w:val="32"/>
        <w:szCs w:val="32"/>
      </w:rPr>
      <w:t xml:space="preserve"> 2014</w:t>
    </w:r>
  </w:p>
  <w:p w:rsidR="001D6041" w:rsidRDefault="001D6041" w:rsidP="00EA66C8">
    <w:pPr>
      <w:pStyle w:val="Header"/>
      <w:tabs>
        <w:tab w:val="clear" w:pos="4680"/>
        <w:tab w:val="clear" w:pos="9360"/>
      </w:tabs>
      <w:ind w:left="-360" w:right="-450"/>
      <w:jc w:val="center"/>
    </w:pPr>
  </w:p>
  <w:p w:rsidR="003F67BB" w:rsidRPr="001D6041" w:rsidRDefault="001D6041" w:rsidP="008D3698">
    <w:pPr>
      <w:pStyle w:val="Header"/>
      <w:tabs>
        <w:tab w:val="clear" w:pos="9360"/>
        <w:tab w:val="right" w:pos="9540"/>
      </w:tabs>
      <w:ind w:left="-900" w:right="-450"/>
      <w:jc w:val="center"/>
      <w:rPr>
        <w:color w:val="FFFFFF" w:themeColor="background1"/>
        <w:sz w:val="32"/>
        <w:szCs w:val="32"/>
      </w:rPr>
    </w:pPr>
    <w:r>
      <w:rPr>
        <w:color w:val="FFFFFF" w:themeColor="background1"/>
      </w:rPr>
      <w:t xml:space="preserve">        February 19,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BB" w:rsidRDefault="009A6C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491937" o:spid="_x0000_s2049" type="#_x0000_t136" style="position:absolute;margin-left:0;margin-top:0;width:430.5pt;height:146.2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20pt" string="D R A F 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clip_image001"/>
      </v:shape>
    </w:pict>
  </w:numPicBullet>
  <w:abstractNum w:abstractNumId="0">
    <w:nsid w:val="02B6202C"/>
    <w:multiLevelType w:val="hybridMultilevel"/>
    <w:tmpl w:val="E3CE10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E7C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152E90"/>
    <w:multiLevelType w:val="hybridMultilevel"/>
    <w:tmpl w:val="FE48C0BA"/>
    <w:lvl w:ilvl="0" w:tplc="734CAAE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837C71"/>
    <w:multiLevelType w:val="hybridMultilevel"/>
    <w:tmpl w:val="7FC8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A1751"/>
    <w:multiLevelType w:val="hybridMultilevel"/>
    <w:tmpl w:val="6E3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76B9"/>
    <w:multiLevelType w:val="hybridMultilevel"/>
    <w:tmpl w:val="E668A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3C464B"/>
    <w:multiLevelType w:val="hybridMultilevel"/>
    <w:tmpl w:val="8DA2F288"/>
    <w:lvl w:ilvl="0" w:tplc="734CAAE2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  <w:color w:val="auto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A1A8A"/>
    <w:multiLevelType w:val="hybridMultilevel"/>
    <w:tmpl w:val="B326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A57BD"/>
    <w:multiLevelType w:val="hybridMultilevel"/>
    <w:tmpl w:val="BEEE6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112C"/>
    <w:multiLevelType w:val="hybridMultilevel"/>
    <w:tmpl w:val="F906DDA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>
    <w:nsid w:val="512130CE"/>
    <w:multiLevelType w:val="hybridMultilevel"/>
    <w:tmpl w:val="37565AD4"/>
    <w:lvl w:ilvl="0" w:tplc="734CA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736C8"/>
    <w:multiLevelType w:val="hybridMultilevel"/>
    <w:tmpl w:val="CF440F6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536F1E98"/>
    <w:multiLevelType w:val="hybridMultilevel"/>
    <w:tmpl w:val="B142B6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491104"/>
    <w:multiLevelType w:val="hybridMultilevel"/>
    <w:tmpl w:val="75662B3C"/>
    <w:lvl w:ilvl="0" w:tplc="0C3001C0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67D23D14"/>
    <w:multiLevelType w:val="hybridMultilevel"/>
    <w:tmpl w:val="B89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168A0"/>
    <w:multiLevelType w:val="hybridMultilevel"/>
    <w:tmpl w:val="0930D6CE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>
    <w:nsid w:val="7AF42F5D"/>
    <w:multiLevelType w:val="hybridMultilevel"/>
    <w:tmpl w:val="906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A185D"/>
    <w:multiLevelType w:val="hybridMultilevel"/>
    <w:tmpl w:val="23D87C46"/>
    <w:lvl w:ilvl="0" w:tplc="AF32BF1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  <w:num w:numId="16">
    <w:abstractNumId w:val="5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AF"/>
    <w:rsid w:val="00015D98"/>
    <w:rsid w:val="00025629"/>
    <w:rsid w:val="000316A9"/>
    <w:rsid w:val="000319BD"/>
    <w:rsid w:val="0004117B"/>
    <w:rsid w:val="00074676"/>
    <w:rsid w:val="000818E5"/>
    <w:rsid w:val="0008612C"/>
    <w:rsid w:val="000945E8"/>
    <w:rsid w:val="000A405F"/>
    <w:rsid w:val="000B677A"/>
    <w:rsid w:val="000D3DE6"/>
    <w:rsid w:val="000D7F67"/>
    <w:rsid w:val="000E6092"/>
    <w:rsid w:val="000F5AA9"/>
    <w:rsid w:val="00115C55"/>
    <w:rsid w:val="00123FDB"/>
    <w:rsid w:val="00171C45"/>
    <w:rsid w:val="00176D04"/>
    <w:rsid w:val="00194A8F"/>
    <w:rsid w:val="001B2CB9"/>
    <w:rsid w:val="001C28E2"/>
    <w:rsid w:val="001D6041"/>
    <w:rsid w:val="001E1006"/>
    <w:rsid w:val="00212E29"/>
    <w:rsid w:val="002168AE"/>
    <w:rsid w:val="00245673"/>
    <w:rsid w:val="00273F4C"/>
    <w:rsid w:val="00277D70"/>
    <w:rsid w:val="00290DF0"/>
    <w:rsid w:val="0029423A"/>
    <w:rsid w:val="002A2D14"/>
    <w:rsid w:val="002A3CE5"/>
    <w:rsid w:val="002C5527"/>
    <w:rsid w:val="002D40ED"/>
    <w:rsid w:val="002D5F6D"/>
    <w:rsid w:val="00312397"/>
    <w:rsid w:val="003333B8"/>
    <w:rsid w:val="00366169"/>
    <w:rsid w:val="003718B3"/>
    <w:rsid w:val="003726A6"/>
    <w:rsid w:val="00377DC0"/>
    <w:rsid w:val="00392D81"/>
    <w:rsid w:val="003A7A17"/>
    <w:rsid w:val="003B329D"/>
    <w:rsid w:val="003B6537"/>
    <w:rsid w:val="003D05AD"/>
    <w:rsid w:val="003D10DB"/>
    <w:rsid w:val="003E06BB"/>
    <w:rsid w:val="003F67BB"/>
    <w:rsid w:val="00404E98"/>
    <w:rsid w:val="0040588E"/>
    <w:rsid w:val="0041178D"/>
    <w:rsid w:val="0046133C"/>
    <w:rsid w:val="004F386A"/>
    <w:rsid w:val="00505997"/>
    <w:rsid w:val="00525C62"/>
    <w:rsid w:val="00531550"/>
    <w:rsid w:val="00533E04"/>
    <w:rsid w:val="00546377"/>
    <w:rsid w:val="00555495"/>
    <w:rsid w:val="00556119"/>
    <w:rsid w:val="0055632B"/>
    <w:rsid w:val="00566479"/>
    <w:rsid w:val="00582332"/>
    <w:rsid w:val="00585C9A"/>
    <w:rsid w:val="005959B0"/>
    <w:rsid w:val="00596AD6"/>
    <w:rsid w:val="005B00E0"/>
    <w:rsid w:val="005C5EDA"/>
    <w:rsid w:val="005D2FA9"/>
    <w:rsid w:val="005E04FB"/>
    <w:rsid w:val="005F0378"/>
    <w:rsid w:val="005F05E9"/>
    <w:rsid w:val="005F574A"/>
    <w:rsid w:val="00600919"/>
    <w:rsid w:val="00657992"/>
    <w:rsid w:val="00662373"/>
    <w:rsid w:val="0066525C"/>
    <w:rsid w:val="006767EE"/>
    <w:rsid w:val="006775F4"/>
    <w:rsid w:val="0069218D"/>
    <w:rsid w:val="006B5EE6"/>
    <w:rsid w:val="006E56A9"/>
    <w:rsid w:val="006F10E1"/>
    <w:rsid w:val="00702BAE"/>
    <w:rsid w:val="00730BAF"/>
    <w:rsid w:val="00734BDA"/>
    <w:rsid w:val="00736FFD"/>
    <w:rsid w:val="00746CAF"/>
    <w:rsid w:val="00775E11"/>
    <w:rsid w:val="007A20FF"/>
    <w:rsid w:val="007B4E5E"/>
    <w:rsid w:val="007B7385"/>
    <w:rsid w:val="00803B22"/>
    <w:rsid w:val="008176F3"/>
    <w:rsid w:val="00831C48"/>
    <w:rsid w:val="00832DE7"/>
    <w:rsid w:val="0085004B"/>
    <w:rsid w:val="00853D3B"/>
    <w:rsid w:val="00854BD5"/>
    <w:rsid w:val="00876661"/>
    <w:rsid w:val="00896982"/>
    <w:rsid w:val="008A2EA5"/>
    <w:rsid w:val="008D3698"/>
    <w:rsid w:val="008F535F"/>
    <w:rsid w:val="00904B2C"/>
    <w:rsid w:val="00904DCB"/>
    <w:rsid w:val="00911533"/>
    <w:rsid w:val="0091295B"/>
    <w:rsid w:val="00943D77"/>
    <w:rsid w:val="009502CE"/>
    <w:rsid w:val="009630FC"/>
    <w:rsid w:val="009912DD"/>
    <w:rsid w:val="00994AAF"/>
    <w:rsid w:val="009A6C2F"/>
    <w:rsid w:val="009A7228"/>
    <w:rsid w:val="009A747D"/>
    <w:rsid w:val="009B2DB8"/>
    <w:rsid w:val="009D1215"/>
    <w:rsid w:val="009F108D"/>
    <w:rsid w:val="00A445BA"/>
    <w:rsid w:val="00A52783"/>
    <w:rsid w:val="00A52F20"/>
    <w:rsid w:val="00A55D0A"/>
    <w:rsid w:val="00A664CD"/>
    <w:rsid w:val="00A77BCE"/>
    <w:rsid w:val="00A80F19"/>
    <w:rsid w:val="00AE67AB"/>
    <w:rsid w:val="00AF03FF"/>
    <w:rsid w:val="00B2550F"/>
    <w:rsid w:val="00B97904"/>
    <w:rsid w:val="00BA2328"/>
    <w:rsid w:val="00BE4819"/>
    <w:rsid w:val="00C01F2C"/>
    <w:rsid w:val="00C156F2"/>
    <w:rsid w:val="00C1596A"/>
    <w:rsid w:val="00C16F3C"/>
    <w:rsid w:val="00C22EF9"/>
    <w:rsid w:val="00C31F2C"/>
    <w:rsid w:val="00C46F08"/>
    <w:rsid w:val="00C5038D"/>
    <w:rsid w:val="00C66660"/>
    <w:rsid w:val="00C76FF9"/>
    <w:rsid w:val="00C860E6"/>
    <w:rsid w:val="00CA091E"/>
    <w:rsid w:val="00CA3FFF"/>
    <w:rsid w:val="00CB0517"/>
    <w:rsid w:val="00CB4D91"/>
    <w:rsid w:val="00CD42F1"/>
    <w:rsid w:val="00CE6EF5"/>
    <w:rsid w:val="00D07A09"/>
    <w:rsid w:val="00D336D0"/>
    <w:rsid w:val="00D3442D"/>
    <w:rsid w:val="00D631AF"/>
    <w:rsid w:val="00D63D6D"/>
    <w:rsid w:val="00D6565B"/>
    <w:rsid w:val="00D7457B"/>
    <w:rsid w:val="00D81AD2"/>
    <w:rsid w:val="00D96D4A"/>
    <w:rsid w:val="00DA4ACA"/>
    <w:rsid w:val="00DB1362"/>
    <w:rsid w:val="00DB3348"/>
    <w:rsid w:val="00DD13FD"/>
    <w:rsid w:val="00DD1B30"/>
    <w:rsid w:val="00DE1C1C"/>
    <w:rsid w:val="00E0489C"/>
    <w:rsid w:val="00E226A8"/>
    <w:rsid w:val="00E3230B"/>
    <w:rsid w:val="00E9165B"/>
    <w:rsid w:val="00EA0C7C"/>
    <w:rsid w:val="00EA586A"/>
    <w:rsid w:val="00EA66C8"/>
    <w:rsid w:val="00EB410B"/>
    <w:rsid w:val="00EB5EE9"/>
    <w:rsid w:val="00ED0586"/>
    <w:rsid w:val="00EE7EFA"/>
    <w:rsid w:val="00F0286A"/>
    <w:rsid w:val="00F02C7F"/>
    <w:rsid w:val="00F10EF3"/>
    <w:rsid w:val="00F15B7E"/>
    <w:rsid w:val="00F21E14"/>
    <w:rsid w:val="00F3455E"/>
    <w:rsid w:val="00F452C3"/>
    <w:rsid w:val="00F45F7D"/>
    <w:rsid w:val="00F55E19"/>
    <w:rsid w:val="00F718DB"/>
    <w:rsid w:val="00F76C98"/>
    <w:rsid w:val="00F820A9"/>
    <w:rsid w:val="00F97981"/>
    <w:rsid w:val="00FC409D"/>
    <w:rsid w:val="00FE0DE0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A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BAF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0B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BAF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0B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B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04E9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B2C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76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A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BAF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0B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BAF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0B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B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04E9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B2C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7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linahealthcare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395E81884AE44BAACEEE3194646C5" ma:contentTypeVersion="0" ma:contentTypeDescription="Create a new document." ma:contentTypeScope="" ma:versionID="ec7d2a9961a6c8fd5106acbb5a352d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F9AC9-C27B-49ED-9EA3-FEEE45BFBB75}"/>
</file>

<file path=customXml/itemProps2.xml><?xml version="1.0" encoding="utf-8"?>
<ds:datastoreItem xmlns:ds="http://schemas.openxmlformats.org/officeDocument/2006/customXml" ds:itemID="{0E8B4EAD-EB1B-4AD8-8E4F-0D62D6C60006}"/>
</file>

<file path=customXml/itemProps3.xml><?xml version="1.0" encoding="utf-8"?>
<ds:datastoreItem xmlns:ds="http://schemas.openxmlformats.org/officeDocument/2006/customXml" ds:itemID="{1CB5D5A2-35DC-4841-9D1F-48CEA8D154D8}"/>
</file>

<file path=customXml/itemProps4.xml><?xml version="1.0" encoding="utf-8"?>
<ds:datastoreItem xmlns:ds="http://schemas.openxmlformats.org/officeDocument/2006/customXml" ds:itemID="{553CEA65-C3C9-4DC0-8931-F2D914FE2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Molina Healthcare, Inc.</Company>
  <LinksUpToDate>false</LinksUpToDate>
  <CharactersWithSpaces>1033</CharactersWithSpaces>
  <SharedDoc>false</SharedDoc>
  <HLinks>
    <vt:vector size="12" baseType="variant"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http://www.molinahealthcare.com/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http://www.fisglobal.com/ProviderNet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willingk</dc:creator>
  <cp:lastModifiedBy>Kelly Vetoich</cp:lastModifiedBy>
  <cp:revision>13</cp:revision>
  <cp:lastPrinted>2014-02-19T21:57:00Z</cp:lastPrinted>
  <dcterms:created xsi:type="dcterms:W3CDTF">2013-12-24T14:26:00Z</dcterms:created>
  <dcterms:modified xsi:type="dcterms:W3CDTF">2014-02-19T22:04:00Z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0x01010029C395E81884AE44BAACEEE3194646C5</vt:lpwstr>
  </property>
</Properties>
</file>